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A01" w:rsidRPr="00347762" w:rsidRDefault="00FC1D03" w:rsidP="00356698">
      <w:pPr>
        <w:spacing w:line="230" w:lineRule="auto"/>
        <w:ind w:left="11199" w:firstLine="0"/>
        <w:jc w:val="left"/>
        <w:rPr>
          <w:rFonts w:ascii="Times New Roman" w:hAnsi="Times New Roman"/>
          <w:bCs/>
          <w:sz w:val="28"/>
          <w:szCs w:val="28"/>
        </w:rPr>
      </w:pPr>
      <w:r w:rsidRPr="00347762">
        <w:rPr>
          <w:rFonts w:ascii="Times New Roman" w:hAnsi="Times New Roman"/>
          <w:bCs/>
          <w:sz w:val="28"/>
          <w:szCs w:val="28"/>
        </w:rPr>
        <w:t>Приложение 3</w:t>
      </w:r>
      <w:r w:rsidRPr="00347762">
        <w:rPr>
          <w:rFonts w:ascii="Times New Roman" w:hAnsi="Times New Roman"/>
          <w:bCs/>
          <w:sz w:val="28"/>
          <w:szCs w:val="28"/>
        </w:rPr>
        <w:br/>
        <w:t xml:space="preserve">к Плану работы </w:t>
      </w:r>
    </w:p>
    <w:p w:rsidR="002B2A01" w:rsidRPr="00347762" w:rsidRDefault="00FC1D03" w:rsidP="00356698">
      <w:pPr>
        <w:spacing w:line="230" w:lineRule="auto"/>
        <w:ind w:left="11199" w:firstLine="0"/>
        <w:jc w:val="left"/>
        <w:rPr>
          <w:rFonts w:ascii="Times New Roman" w:hAnsi="Times New Roman"/>
          <w:bCs/>
          <w:sz w:val="28"/>
          <w:szCs w:val="28"/>
        </w:rPr>
      </w:pPr>
      <w:r w:rsidRPr="00347762">
        <w:rPr>
          <w:rFonts w:ascii="Times New Roman" w:hAnsi="Times New Roman"/>
          <w:bCs/>
          <w:sz w:val="28"/>
          <w:szCs w:val="28"/>
        </w:rPr>
        <w:t xml:space="preserve">Думы Ханты-Мансийского </w:t>
      </w:r>
      <w:r w:rsidRPr="00347762">
        <w:rPr>
          <w:rFonts w:ascii="Times New Roman" w:hAnsi="Times New Roman"/>
          <w:bCs/>
          <w:sz w:val="28"/>
          <w:szCs w:val="28"/>
        </w:rPr>
        <w:br/>
        <w:t xml:space="preserve">автономного округа – Югры </w:t>
      </w:r>
      <w:r w:rsidRPr="00347762">
        <w:rPr>
          <w:rFonts w:ascii="Times New Roman" w:hAnsi="Times New Roman"/>
          <w:bCs/>
          <w:sz w:val="28"/>
          <w:szCs w:val="28"/>
        </w:rPr>
        <w:br/>
        <w:t>на 2025 год</w:t>
      </w:r>
    </w:p>
    <w:p w:rsidR="002B2A01" w:rsidRPr="00356698" w:rsidRDefault="002B2A01" w:rsidP="00356698">
      <w:pPr>
        <w:spacing w:line="230" w:lineRule="auto"/>
        <w:ind w:firstLine="0"/>
        <w:jc w:val="center"/>
        <w:rPr>
          <w:rFonts w:ascii="Times New Roman" w:hAnsi="Times New Roman"/>
          <w:bCs/>
          <w:sz w:val="24"/>
          <w:szCs w:val="28"/>
        </w:rPr>
      </w:pPr>
    </w:p>
    <w:p w:rsidR="002B2A01" w:rsidRPr="00347762" w:rsidRDefault="00FC1D03" w:rsidP="00356698">
      <w:pPr>
        <w:spacing w:line="23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47762">
        <w:rPr>
          <w:rFonts w:ascii="Times New Roman" w:hAnsi="Times New Roman"/>
          <w:b/>
          <w:bCs/>
          <w:sz w:val="28"/>
          <w:szCs w:val="28"/>
        </w:rPr>
        <w:t>План</w:t>
      </w:r>
    </w:p>
    <w:p w:rsidR="002B2A01" w:rsidRPr="00347762" w:rsidRDefault="00FC1D03" w:rsidP="00356698">
      <w:pPr>
        <w:spacing w:line="23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47762">
        <w:rPr>
          <w:rFonts w:ascii="Times New Roman" w:hAnsi="Times New Roman"/>
          <w:b/>
          <w:bCs/>
          <w:sz w:val="28"/>
          <w:szCs w:val="28"/>
        </w:rPr>
        <w:t xml:space="preserve">проведения </w:t>
      </w:r>
      <w:r w:rsidRPr="00347762">
        <w:rPr>
          <w:rFonts w:ascii="Times New Roman" w:hAnsi="Times New Roman"/>
          <w:b/>
          <w:sz w:val="28"/>
          <w:szCs w:val="28"/>
        </w:rPr>
        <w:t xml:space="preserve">в Думе Ханты-Мансийского автономного округа – Югры </w:t>
      </w:r>
      <w:r w:rsidRPr="00347762">
        <w:rPr>
          <w:rFonts w:ascii="Times New Roman" w:hAnsi="Times New Roman"/>
          <w:b/>
          <w:sz w:val="28"/>
          <w:szCs w:val="28"/>
        </w:rPr>
        <w:br/>
        <w:t>"правительственных часов" на 2025 год</w:t>
      </w:r>
    </w:p>
    <w:p w:rsidR="002B2A01" w:rsidRPr="00356698" w:rsidRDefault="002B2A01" w:rsidP="00356698">
      <w:pPr>
        <w:spacing w:line="230" w:lineRule="auto"/>
        <w:ind w:firstLine="0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917"/>
        <w:gridCol w:w="5404"/>
        <w:gridCol w:w="5928"/>
        <w:gridCol w:w="2607"/>
      </w:tblGrid>
      <w:tr w:rsidR="00347762" w:rsidRPr="00347762">
        <w:trPr>
          <w:tblHeader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A01" w:rsidRPr="00347762" w:rsidRDefault="00FC1D03" w:rsidP="00356698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A01" w:rsidRPr="00347762" w:rsidRDefault="00FC1D03" w:rsidP="00356698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Наименование проекта информации </w:t>
            </w:r>
          </w:p>
          <w:p w:rsidR="002B2A01" w:rsidRPr="00347762" w:rsidRDefault="00FC1D03" w:rsidP="00356698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или доклада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A01" w:rsidRPr="00347762" w:rsidRDefault="00FC1D03" w:rsidP="00356698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Ответственный </w:t>
            </w:r>
          </w:p>
          <w:p w:rsidR="002B2A01" w:rsidRPr="00347762" w:rsidRDefault="00FC1D03" w:rsidP="00356698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представление информации </w:t>
            </w:r>
          </w:p>
          <w:p w:rsidR="002B2A01" w:rsidRPr="00347762" w:rsidRDefault="002B2A01" w:rsidP="00356698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A01" w:rsidRPr="00347762" w:rsidRDefault="00FC1D03" w:rsidP="00356698">
            <w:pPr>
              <w:spacing w:line="230" w:lineRule="auto"/>
              <w:ind w:left="-107" w:right="-193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pacing w:val="-4"/>
                <w:sz w:val="28"/>
                <w:szCs w:val="28"/>
              </w:rPr>
              <w:t>Примерный срок</w:t>
            </w:r>
          </w:p>
          <w:p w:rsidR="002B2A01" w:rsidRPr="00347762" w:rsidRDefault="00FC1D03" w:rsidP="00356698">
            <w:pPr>
              <w:spacing w:line="230" w:lineRule="auto"/>
              <w:ind w:left="-107" w:right="-5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pacing w:val="-4"/>
                <w:sz w:val="28"/>
                <w:szCs w:val="28"/>
              </w:rPr>
              <w:t>проведения "правительственного часа" в Думе автономного округа</w:t>
            </w:r>
          </w:p>
        </w:tc>
      </w:tr>
      <w:tr w:rsidR="00347762" w:rsidRPr="00347762">
        <w:trPr>
          <w:tblHeader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1" w:rsidRPr="00347762" w:rsidRDefault="00FC1D03" w:rsidP="00356698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1" w:rsidRPr="00347762" w:rsidRDefault="00FC1D03" w:rsidP="00356698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1" w:rsidRPr="00347762" w:rsidRDefault="00FC1D03" w:rsidP="00356698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A01" w:rsidRPr="00347762" w:rsidRDefault="00FC1D03" w:rsidP="00356698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56698" w:rsidRPr="00347762" w:rsidTr="0037422D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3477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tabs>
                <w:tab w:val="left" w:pos="0"/>
              </w:tabs>
              <w:spacing w:line="23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Об итогах реализации:</w:t>
            </w:r>
          </w:p>
          <w:p w:rsidR="00356698" w:rsidRPr="00347762" w:rsidRDefault="00356698" w:rsidP="00356698">
            <w:pPr>
              <w:tabs>
                <w:tab w:val="left" w:pos="0"/>
              </w:tabs>
              <w:spacing w:line="23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национального проекта "Безопасные качественные дороги" на территории Ханты-Мансийского автономного округа – Югры за 2024 год;</w:t>
            </w:r>
          </w:p>
          <w:p w:rsidR="00356698" w:rsidRPr="00347762" w:rsidRDefault="00356698" w:rsidP="00356698">
            <w:pPr>
              <w:tabs>
                <w:tab w:val="left" w:pos="0"/>
              </w:tabs>
              <w:spacing w:line="23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мероприятий государственной программы автономного округа "Современная транспортная система", в том числе направленных на развитие водного, железнодорожного, автомобильного </w:t>
            </w:r>
          </w:p>
          <w:p w:rsidR="00356698" w:rsidRPr="00347762" w:rsidRDefault="00356698" w:rsidP="00356698">
            <w:pPr>
              <w:tabs>
                <w:tab w:val="left" w:pos="0"/>
              </w:tabs>
              <w:spacing w:line="23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и воздушного транспорта, за 2024 год.</w:t>
            </w:r>
          </w:p>
          <w:p w:rsidR="00356698" w:rsidRPr="00347762" w:rsidRDefault="00356698" w:rsidP="00356698">
            <w:pPr>
              <w:tabs>
                <w:tab w:val="left" w:pos="0"/>
              </w:tabs>
              <w:spacing w:line="23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О мерах по повышению эффективности транспортной доступности в отдаленных труднодоступных населенных пунктах Ханты-Мансийского автономного округа – Югры.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Департамент дорожного хозяйства </w:t>
            </w:r>
            <w:r w:rsidR="002B7E9A">
              <w:rPr>
                <w:rFonts w:ascii="Times New Roman" w:hAnsi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347762">
              <w:rPr>
                <w:rFonts w:ascii="Times New Roman" w:hAnsi="Times New Roman"/>
                <w:sz w:val="28"/>
                <w:szCs w:val="28"/>
              </w:rPr>
              <w:t xml:space="preserve">и транспорта автономного округа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</w:tr>
    </w:tbl>
    <w:p w:rsidR="00356698" w:rsidRPr="00356698" w:rsidRDefault="00356698">
      <w:pPr>
        <w:rPr>
          <w:sz w:val="6"/>
        </w:rPr>
      </w:pPr>
    </w:p>
    <w:tbl>
      <w:tblPr>
        <w:tblpPr w:leftFromText="180" w:rightFromText="180" w:vertAnchor="text" w:tblpXSpec="center" w:tblpY="1"/>
        <w:tblOverlap w:val="never"/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917"/>
        <w:gridCol w:w="5404"/>
        <w:gridCol w:w="5928"/>
        <w:gridCol w:w="2607"/>
      </w:tblGrid>
      <w:tr w:rsidR="00356698" w:rsidRPr="00347762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tabs>
                <w:tab w:val="left" w:pos="0"/>
              </w:tabs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56698" w:rsidRPr="00347762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Default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tabs>
                <w:tab w:val="left" w:pos="0"/>
              </w:tabs>
              <w:spacing w:line="23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О строительстве и содержании зимних автомобильных дорог в Ханты-Мансийском автономном округе – Югре, требованиях к их качеству и срокам эксплуатации.</w:t>
            </w:r>
          </w:p>
          <w:p w:rsidR="00356698" w:rsidRPr="00347762" w:rsidRDefault="00356698" w:rsidP="00356698">
            <w:pPr>
              <w:tabs>
                <w:tab w:val="left" w:pos="0"/>
              </w:tabs>
              <w:spacing w:line="23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Об эффективности использования средств дорожного фонда Ханты-Мансийского автономного округа – Югры за 2024 год. </w:t>
            </w:r>
          </w:p>
          <w:p w:rsidR="00356698" w:rsidRPr="00347762" w:rsidRDefault="00356698" w:rsidP="00356698">
            <w:pPr>
              <w:tabs>
                <w:tab w:val="left" w:pos="0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О развитии внутренних и внешних авиаперевозок публичным акционерным обществом "Авиакомпания "ЮТэйр"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 xml:space="preserve">в Ханты-Мансийском автономном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>округе – Югре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762" w:rsidRPr="00347762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1" w:rsidRPr="00347762" w:rsidRDefault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C1D03" w:rsidRPr="003477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1" w:rsidRPr="00347762" w:rsidRDefault="00FC1D03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О результатах реализации регионального проекта "Современная школа" в части создания и реконструкции общеобразовательных учреждений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 xml:space="preserve">в Ханты-Мансийском автономном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>округе – Югре в 2024 году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1" w:rsidRPr="00347762" w:rsidRDefault="00FC1D03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Департамент строительства и архитектуры автономного округа, Департамент образования и науки автономного округа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1" w:rsidRPr="00347762" w:rsidRDefault="00FC1D03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</w:tr>
      <w:tr w:rsidR="00347762" w:rsidRPr="00347762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1" w:rsidRPr="00347762" w:rsidRDefault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C1D03" w:rsidRPr="003477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1" w:rsidRPr="00347762" w:rsidRDefault="00FC1D03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Об итогах деятельности Фонда поддержки предпринимательства Югры "Мой Бизнес" за 2024 год и о планах на 2025 год</w:t>
            </w:r>
          </w:p>
          <w:p w:rsidR="002B2A01" w:rsidRPr="00347762" w:rsidRDefault="002B2A01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1" w:rsidRPr="00347762" w:rsidRDefault="00FC1D03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Департамент экономического развития автономного округа (по согласованию), </w:t>
            </w:r>
          </w:p>
          <w:p w:rsidR="002B2A01" w:rsidRPr="00347762" w:rsidRDefault="00FC1D03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Фонд поддержки предпринимательства Югры </w:t>
            </w:r>
          </w:p>
          <w:p w:rsidR="002B2A01" w:rsidRPr="00347762" w:rsidRDefault="00FC1D03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"Мой Бизнес" (по согласованию)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1" w:rsidRPr="00347762" w:rsidRDefault="00FC1D03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347762" w:rsidRPr="00347762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1" w:rsidRPr="00347762" w:rsidRDefault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FC1D03" w:rsidRPr="003477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1" w:rsidRPr="00347762" w:rsidRDefault="00FC1D03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О результатах деятельности Фонда "Югорская региональная микрокредитная компания" за 2024 год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1" w:rsidRPr="00347762" w:rsidRDefault="00FC1D03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Департамент экономического развития автономного округа (по согласованию), </w:t>
            </w:r>
          </w:p>
          <w:p w:rsidR="002B2A01" w:rsidRPr="00347762" w:rsidRDefault="00FC1D03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Фонд "Югорская региональная микрокредитная компания" </w:t>
            </w:r>
          </w:p>
          <w:p w:rsidR="002B2A01" w:rsidRPr="00347762" w:rsidRDefault="00FC1D03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1" w:rsidRPr="00347762" w:rsidRDefault="00FC1D03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</w:tbl>
    <w:p w:rsidR="00356698" w:rsidRDefault="00356698"/>
    <w:p w:rsidR="00356698" w:rsidRDefault="00356698"/>
    <w:p w:rsidR="00356698" w:rsidRDefault="00356698"/>
    <w:tbl>
      <w:tblPr>
        <w:tblpPr w:leftFromText="180" w:rightFromText="180" w:vertAnchor="text" w:tblpXSpec="center" w:tblpY="1"/>
        <w:tblOverlap w:val="never"/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917"/>
        <w:gridCol w:w="5404"/>
        <w:gridCol w:w="5928"/>
        <w:gridCol w:w="2607"/>
      </w:tblGrid>
      <w:tr w:rsidR="00356698" w:rsidRPr="00347762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47762" w:rsidRPr="00347762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1" w:rsidRPr="00347762" w:rsidRDefault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FC1D03" w:rsidRPr="003477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1" w:rsidRPr="00347762" w:rsidRDefault="00FC1D03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Об итогах деятельности Фонда развития Югры за 2024 год и о планах на 2025 год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1" w:rsidRPr="00347762" w:rsidRDefault="00FC1D03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Департамент промышленности автономного округа (по согласованию), </w:t>
            </w:r>
          </w:p>
          <w:p w:rsidR="002B2A01" w:rsidRPr="00347762" w:rsidRDefault="00FC1D03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Фонд развития Югры (по согласованию)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01" w:rsidRPr="00347762" w:rsidRDefault="00FC1D03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356698" w:rsidRPr="00347762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3477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Об итогах реализации:</w:t>
            </w:r>
          </w:p>
          <w:p w:rsidR="00356698" w:rsidRPr="00347762" w:rsidRDefault="00356698" w:rsidP="00356698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национального проекта "Экология"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>на территории Ханты-Мансийского автономного округа – Югры за 2024 год;</w:t>
            </w:r>
          </w:p>
          <w:p w:rsidR="00356698" w:rsidRPr="00347762" w:rsidRDefault="00356698" w:rsidP="00356698">
            <w:pPr>
              <w:spacing w:line="230" w:lineRule="auto"/>
              <w:ind w:firstLine="0"/>
              <w:jc w:val="left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мероприятий государственной программы автономного округа "Экологическая безопасность" за 2024 год, включая информацию о </w:t>
            </w:r>
            <w:r w:rsidRPr="0034776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состоянии действующих полигонов и перспективах строительства полигонов утилизации твердых бытовых отходов, твердых коммунальных отходов </w:t>
            </w:r>
          </w:p>
          <w:p w:rsidR="00356698" w:rsidRPr="00347762" w:rsidRDefault="00356698" w:rsidP="00356698">
            <w:pPr>
              <w:spacing w:line="23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pacing w:val="-4"/>
                <w:sz w:val="28"/>
                <w:szCs w:val="28"/>
              </w:rPr>
              <w:t>на территории автономного округа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Служба по контролю и надзору в сфере охраны окружающей среды, объектов животного мира и лесных отношений автономного округа,</w:t>
            </w:r>
          </w:p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Департамент промышленности автономного округа (по согласованию)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6698" w:rsidRPr="00347762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О реконструкции, строительстве инженерных сетей и канализационно-очистных сооружений в Ханты-Мансийском автономном округе – Югре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Департамент жилищно-коммунального комплекса и энергетики автономного округа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356698" w:rsidRPr="00347762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Default="00356698" w:rsidP="00356698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О мерах по обеспечению населенных пунктов Ханты-Мансийского автономного округа – Югры чистой питьевой водой, строительстве канализационно-очистных сооружений, строительстве </w:t>
            </w:r>
          </w:p>
          <w:p w:rsidR="00356698" w:rsidRPr="00347762" w:rsidRDefault="00356698" w:rsidP="00356698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и эксплуатации ливневых канализаций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Департамент жилищно-коммунального комплекса и энергетики автономного округа </w:t>
            </w:r>
          </w:p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356698" w:rsidRPr="00347762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Default="00356698" w:rsidP="00356698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О реализации регионального проекта "Формирование комфортной городской среды", в том числе подпрограммы "Градостроительное обеспечение </w:t>
            </w:r>
          </w:p>
          <w:p w:rsidR="00356698" w:rsidRPr="00347762" w:rsidRDefault="00356698" w:rsidP="00356698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и комплексное развитие территорий",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>в 2024 году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Департамент строительства и архитектуры автономного округа (по согласованию)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356698" w:rsidRPr="00347762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56698" w:rsidRPr="00347762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Об итогах реализации мероприятий государственной программы автономного округа "Строительство" за 2024 год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>и за отчетный период 2025 года.</w:t>
            </w:r>
          </w:p>
          <w:p w:rsidR="00356698" w:rsidRPr="00347762" w:rsidRDefault="00356698" w:rsidP="00356698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О реализации регионального проекта "Обеспечение устойчивого сокращения непригодного для проживания жилищного фонда" за 2024 год.</w:t>
            </w:r>
          </w:p>
          <w:p w:rsidR="00356698" w:rsidRDefault="00356698" w:rsidP="00356698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О реализации мероприятий </w:t>
            </w:r>
          </w:p>
          <w:p w:rsidR="00356698" w:rsidRDefault="00356698" w:rsidP="00356698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по обеспечению жильем граждан из числа коренных малочисленных народов Севера, проживающих на территории автономного округа, признанных до 31 декабря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 xml:space="preserve">2014 года участниками подпрограмм,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 xml:space="preserve">за 2024 год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отчетный период </w:t>
            </w:r>
          </w:p>
          <w:p w:rsidR="00356698" w:rsidRPr="00347762" w:rsidRDefault="00356698" w:rsidP="00356698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2025 года. </w:t>
            </w:r>
          </w:p>
          <w:p w:rsidR="00356698" w:rsidRPr="00347762" w:rsidRDefault="00356698" w:rsidP="00356698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О строительстве и капитальном ремонте объектов социальной сферы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Департамент строительства и архитектуры автономного округа (по согласованию)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</w:tr>
      <w:tr w:rsidR="00356698" w:rsidRPr="00347762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3477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Об анализе ситуации в жилищной сфере Ханты-Мансийского автономного округа – Югры (начиная с 2005 года) и причинах низкого обеспечения жилыми помещениями граждан, состоящих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 xml:space="preserve">на учете в очереди на получение жилья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>в муниципальных образованиях Ханты-Мансийского автономного округа – Югры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Департамент строительства и архитектуры </w:t>
            </w:r>
          </w:p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автономного округа (по согласованию)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</w:tr>
    </w:tbl>
    <w:p w:rsidR="00356698" w:rsidRDefault="00356698"/>
    <w:p w:rsidR="00356698" w:rsidRDefault="00356698"/>
    <w:p w:rsidR="00356698" w:rsidRDefault="00356698"/>
    <w:p w:rsidR="00356698" w:rsidRDefault="00356698"/>
    <w:p w:rsidR="00356698" w:rsidRDefault="00356698"/>
    <w:p w:rsidR="00356698" w:rsidRDefault="00356698"/>
    <w:p w:rsidR="00356698" w:rsidRDefault="00356698"/>
    <w:tbl>
      <w:tblPr>
        <w:tblpPr w:leftFromText="180" w:rightFromText="180" w:vertAnchor="text" w:tblpXSpec="center" w:tblpY="1"/>
        <w:tblOverlap w:val="never"/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917"/>
        <w:gridCol w:w="5404"/>
        <w:gridCol w:w="5928"/>
        <w:gridCol w:w="2607"/>
      </w:tblGrid>
      <w:tr w:rsidR="00356698" w:rsidRPr="00347762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56698" w:rsidRPr="00347762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3477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 xml:space="preserve">О достижении стратегической цели политики Правительства Ханты-Мансийского автономного округа – Югры в сфере физической культуры и спорта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 xml:space="preserve">с учетом разработки механизма выявления спортивно одаренных детей; создания системы социальной адаптации спортсменов после завершения спортивной карьеры; переподготовки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 xml:space="preserve">и повышения уровня квалификации тренерского состава; финансовой поддержки некоммерческих организаций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 xml:space="preserve">в области развития физической культуры </w:t>
            </w:r>
            <w:r w:rsidRPr="00347762">
              <w:rPr>
                <w:rFonts w:ascii="Times New Roman" w:hAnsi="Times New Roman"/>
                <w:sz w:val="28"/>
                <w:szCs w:val="28"/>
              </w:rPr>
              <w:br/>
              <w:t>и спорта с учетом их возрастающей значимости, в том числе в части выполнения соци</w:t>
            </w:r>
            <w:r>
              <w:rPr>
                <w:rFonts w:ascii="Times New Roman" w:hAnsi="Times New Roman"/>
                <w:sz w:val="28"/>
                <w:szCs w:val="28"/>
              </w:rPr>
              <w:t>ального заказа, а также развития</w:t>
            </w:r>
            <w:r w:rsidRPr="00347762">
              <w:rPr>
                <w:rFonts w:ascii="Times New Roman" w:hAnsi="Times New Roman"/>
                <w:sz w:val="28"/>
                <w:szCs w:val="28"/>
              </w:rPr>
              <w:t xml:space="preserve"> спорта высших достижений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762">
              <w:rPr>
                <w:rFonts w:ascii="Times New Roman" w:hAnsi="Times New Roman"/>
                <w:sz w:val="28"/>
                <w:szCs w:val="28"/>
              </w:rPr>
              <w:t>Департамент физической культуры и спорта автономного округа (по согласованию)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698" w:rsidRPr="00347762" w:rsidRDefault="00356698" w:rsidP="00356698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</w:tbl>
    <w:p w:rsidR="002B2A01" w:rsidRPr="00347762" w:rsidRDefault="002B2A01" w:rsidP="00347762">
      <w:pPr>
        <w:ind w:firstLine="0"/>
      </w:pPr>
    </w:p>
    <w:sectPr w:rsidR="002B2A01" w:rsidRPr="00347762" w:rsidSect="003566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851" w:right="964" w:bottom="1134" w:left="1134" w:header="567" w:footer="567" w:gutter="0"/>
      <w:pgNumType w:start="3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179" w:rsidRDefault="00A62179">
      <w:r>
        <w:separator/>
      </w:r>
    </w:p>
  </w:endnote>
  <w:endnote w:type="continuationSeparator" w:id="0">
    <w:p w:rsidR="00A62179" w:rsidRDefault="00A6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A01" w:rsidRDefault="00FC1D0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2A01" w:rsidRDefault="002B2A0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A01" w:rsidRDefault="002B2A01">
    <w:pPr>
      <w:pStyle w:val="a5"/>
      <w:ind w:right="360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179" w:rsidRDefault="00A62179">
      <w:r>
        <w:separator/>
      </w:r>
    </w:p>
  </w:footnote>
  <w:footnote w:type="continuationSeparator" w:id="0">
    <w:p w:rsidR="00A62179" w:rsidRDefault="00A62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A01" w:rsidRDefault="00FC1D03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2A01" w:rsidRDefault="002B2A01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977066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B2A01" w:rsidRDefault="00FC1D03">
        <w:pPr>
          <w:pStyle w:val="a8"/>
          <w:jc w:val="right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2B7E9A" w:rsidRPr="002B7E9A">
          <w:rPr>
            <w:rFonts w:ascii="Times New Roman" w:hAnsi="Times New Roman"/>
            <w:noProof/>
            <w:sz w:val="24"/>
            <w:szCs w:val="24"/>
            <w:lang w:val="ru-RU"/>
          </w:rPr>
          <w:t>38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A01" w:rsidRDefault="002B2A01">
    <w:pPr>
      <w:pStyle w:val="a8"/>
      <w:jc w:val="center"/>
    </w:pPr>
  </w:p>
  <w:p w:rsidR="002B2A01" w:rsidRDefault="002B2A0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B69"/>
    <w:multiLevelType w:val="hybridMultilevel"/>
    <w:tmpl w:val="CB18D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50CD6"/>
    <w:multiLevelType w:val="hybridMultilevel"/>
    <w:tmpl w:val="65DE5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F66C6"/>
    <w:multiLevelType w:val="hybridMultilevel"/>
    <w:tmpl w:val="F81CE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D50B4"/>
    <w:multiLevelType w:val="hybridMultilevel"/>
    <w:tmpl w:val="8D464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31192"/>
    <w:multiLevelType w:val="hybridMultilevel"/>
    <w:tmpl w:val="697898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A01"/>
    <w:rsid w:val="002B2A01"/>
    <w:rsid w:val="002B7E9A"/>
    <w:rsid w:val="00347762"/>
    <w:rsid w:val="00356698"/>
    <w:rsid w:val="00587D97"/>
    <w:rsid w:val="00634087"/>
    <w:rsid w:val="00816F3E"/>
    <w:rsid w:val="00A62179"/>
    <w:rsid w:val="00C91D41"/>
    <w:rsid w:val="00D1584A"/>
    <w:rsid w:val="00FC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2275D3-EF6B-4F4F-8352-7BA89BCA7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rPr>
      <w:b/>
      <w:bCs/>
      <w:color w:val="008000"/>
      <w:sz w:val="20"/>
      <w:szCs w:val="20"/>
      <w:u w:val="single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rFonts w:cs="Arial"/>
    </w:rPr>
  </w:style>
  <w:style w:type="character" w:customStyle="1" w:styleId="a9">
    <w:name w:val="Верхний колонтитул Знак"/>
    <w:link w:val="a8"/>
    <w:uiPriority w:val="99"/>
    <w:rPr>
      <w:rFonts w:ascii="Arial" w:hAnsi="Arial"/>
    </w:rPr>
  </w:style>
  <w:style w:type="paragraph" w:styleId="ab">
    <w:name w:val="Balloon Text"/>
    <w:basedOn w:val="a"/>
    <w:link w:val="ac"/>
    <w:semiHidden/>
    <w:rPr>
      <w:rFonts w:ascii="Tahoma" w:hAnsi="Tahoma"/>
      <w:sz w:val="16"/>
      <w:szCs w:val="16"/>
      <w:lang w:val="x-none" w:eastAsia="x-none"/>
    </w:rPr>
  </w:style>
  <w:style w:type="table" w:styleId="ad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6">
    <w:name w:val="Нижний колонтитул Знак"/>
    <w:link w:val="a5"/>
    <w:rPr>
      <w:rFonts w:ascii="Arial" w:hAnsi="Arial"/>
    </w:rPr>
  </w:style>
  <w:style w:type="character" w:customStyle="1" w:styleId="ac">
    <w:name w:val="Текст выноски Знак"/>
    <w:link w:val="ab"/>
    <w:semiHidden/>
    <w:rPr>
      <w:rFonts w:ascii="Tahoma" w:hAnsi="Tahoma" w:cs="Tahoma"/>
      <w:sz w:val="16"/>
      <w:szCs w:val="16"/>
    </w:rPr>
  </w:style>
  <w:style w:type="paragraph" w:styleId="ae">
    <w:name w:val="No Spacing"/>
    <w:qFormat/>
    <w:pPr>
      <w:widowControl w:val="0"/>
      <w:ind w:firstLine="720"/>
      <w:jc w:val="both"/>
    </w:pPr>
    <w:rPr>
      <w:rFonts w:ascii="Arial" w:hAnsi="Arial"/>
    </w:rPr>
  </w:style>
  <w:style w:type="paragraph" w:customStyle="1" w:styleId="af">
    <w:name w:val="Прижатый влево"/>
    <w:basedOn w:val="a"/>
    <w:next w:val="a"/>
    <w:uiPriority w:val="99"/>
    <w:pPr>
      <w:ind w:firstLine="0"/>
      <w:jc w:val="left"/>
    </w:pPr>
    <w:rPr>
      <w:rFonts w:cs="Arial"/>
      <w:sz w:val="24"/>
      <w:szCs w:val="24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character" w:customStyle="1" w:styleId="docdata">
    <w:name w:val="docdata"/>
    <w:aliases w:val="docy,v5,1176,bqiaagaaeyqcaaagiaiaaam1baaabumeaaaaaaaaaaaaaaaaaaaaaaaaaaaaaaaaaaaaaaaaaaaaaaaaaaaaaaaaaaaaaaaaaaaaaaaaaaaaaaaaaaaaaaaaaaaaaaaaaaaaaaaaaaaaaaaaaaaaaaaaaaaaaaaaaaaaaaaaaaaaaaaaaaaaaaaaaaaaaaaaaaaaaaaaaaaaaaaaaaaaaaaaaaaaaaaaaaaaa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71AFE-FB89-4475-A2FB-9E3D4F40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Дума ХМАО</Company>
  <LinksUpToDate>false</LinksUpToDate>
  <CharactersWithSpaces>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ProtasovAV</dc:creator>
  <cp:keywords/>
  <cp:lastModifiedBy>Красноперова Дарья Александровна</cp:lastModifiedBy>
  <cp:revision>3</cp:revision>
  <cp:lastPrinted>2024-12-18T10:57:00Z</cp:lastPrinted>
  <dcterms:created xsi:type="dcterms:W3CDTF">2024-12-18T09:52:00Z</dcterms:created>
  <dcterms:modified xsi:type="dcterms:W3CDTF">2024-12-18T10:57:00Z</dcterms:modified>
</cp:coreProperties>
</file>